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Социально-культурное пространство стран Латинской Америки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827689" w:rsidR="00A77598" w:rsidRPr="001E0724" w:rsidRDefault="001E07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05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5B2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0D05B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0D05B2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0D05B2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1E6BD8" w:rsidR="004475DA" w:rsidRPr="001E0724" w:rsidRDefault="001E07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BB5036" w14:textId="0557623F" w:rsidR="000D05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2999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_Toc200102999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3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1300E86F" w14:textId="2A8EEDCB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0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_Toc200103000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3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24E1A25F" w14:textId="78BAE8A4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1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_Toc200103001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3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7F1EEB41" w14:textId="1CE2366F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2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_Toc200103002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4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60340729" w14:textId="5EBFD4CD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3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_Toc200103003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6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4703951F" w14:textId="2269F4CC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4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_Toc200103004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6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6F7CAF4F" w14:textId="402175D2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5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_Toc200103005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6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1D5E5CDE" w14:textId="2297511E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6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_Toc200103006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6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481D6B2B" w14:textId="53E835B1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7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_Toc200103007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7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2BA52524" w14:textId="0001A1E2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8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_Toc200103008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8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798EABB8" w14:textId="7AC3DD9B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09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_Toc200103009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9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715EA348" w14:textId="7E2F9D29" w:rsidR="000D05B2" w:rsidRDefault="002F0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0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_Toc200103010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56AB01A8" w14:textId="707E74F3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1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_Toc200103011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796B77A6" w14:textId="0CFD4572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2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_Toc200103012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2ADA118B" w14:textId="141C4F0F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3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_Toc200103013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0ADFCD41" w14:textId="7324CBEB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4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_Toc200103014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46D1DC3A" w14:textId="72E16F63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5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_Toc200103015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7BFA7DF3" w14:textId="3C1A6A6E" w:rsidR="000D05B2" w:rsidRDefault="002F0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3016" w:history="1">
            <w:r w:rsidR="000D05B2" w:rsidRPr="00E772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05B2">
              <w:rPr>
                <w:noProof/>
                <w:webHidden/>
              </w:rPr>
              <w:tab/>
            </w:r>
            <w:r w:rsidR="000D05B2">
              <w:rPr>
                <w:noProof/>
                <w:webHidden/>
              </w:rPr>
              <w:fldChar w:fldCharType="begin"/>
            </w:r>
            <w:r w:rsidR="000D05B2">
              <w:rPr>
                <w:noProof/>
                <w:webHidden/>
              </w:rPr>
              <w:instrText xml:space="preserve"> PAGEREF _Toc200103016 \h </w:instrText>
            </w:r>
            <w:r w:rsidR="000D05B2">
              <w:rPr>
                <w:noProof/>
                <w:webHidden/>
              </w:rPr>
            </w:r>
            <w:r w:rsidR="000D05B2">
              <w:rPr>
                <w:noProof/>
                <w:webHidden/>
              </w:rPr>
              <w:fldChar w:fldCharType="separate"/>
            </w:r>
            <w:r w:rsidR="000D05B2">
              <w:rPr>
                <w:noProof/>
                <w:webHidden/>
              </w:rPr>
              <w:t>11</w:t>
            </w:r>
            <w:r w:rsidR="000D05B2">
              <w:rPr>
                <w:noProof/>
                <w:webHidden/>
              </w:rPr>
              <w:fldChar w:fldCharType="end"/>
            </w:r>
          </w:hyperlink>
        </w:p>
        <w:p w14:paraId="0DD49713" w14:textId="6D9F98F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2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как теоретическую подготовку студента по специфике  организации и развития социокультурного пространства , так и достаточный объем фактических знаний по отдельным государствам 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3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Социально-культурное пространство стран Латинской Америки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3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081"/>
        <w:gridCol w:w="5404"/>
      </w:tblGrid>
      <w:tr w:rsidR="00751095" w:rsidRPr="000D05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0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05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05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05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05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0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05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0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0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0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05B2">
              <w:rPr>
                <w:rFonts w:ascii="Times New Roman" w:hAnsi="Times New Roman" w:cs="Times New Roman"/>
              </w:rPr>
              <w:t>особенности социокультурного пространства изучаемого региона с учетом взаимосвязи социальных, исторических, политических и экономических факторов развития стран изучаемого региона</w:t>
            </w:r>
            <w:r w:rsidRPr="000D05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0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05B2">
              <w:rPr>
                <w:rFonts w:ascii="Times New Roman" w:hAnsi="Times New Roman" w:cs="Times New Roman"/>
              </w:rPr>
              <w:t>выявлять основные направления развития и специфику социокультурного пространства через изучение взаимосвязей и взаимовлияния исторических, этнических, культурных и социальных особенностей стран изучаемого региона</w:t>
            </w:r>
            <w:r w:rsidRPr="000D05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05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05B2">
              <w:rPr>
                <w:rFonts w:ascii="Times New Roman" w:hAnsi="Times New Roman" w:cs="Times New Roman"/>
              </w:rPr>
              <w:t xml:space="preserve">навыками и методиками анализа  состояния социокультурного пространства изучаемого региона в контексте взаимосвязи социальных, исторических, </w:t>
            </w:r>
            <w:proofErr w:type="spellStart"/>
            <w:r w:rsidR="00FD518F" w:rsidRPr="000D05B2">
              <w:rPr>
                <w:rFonts w:ascii="Times New Roman" w:hAnsi="Times New Roman" w:cs="Times New Roman"/>
              </w:rPr>
              <w:t>политическихи</w:t>
            </w:r>
            <w:proofErr w:type="spellEnd"/>
            <w:r w:rsidR="00FD518F" w:rsidRPr="000D05B2">
              <w:rPr>
                <w:rFonts w:ascii="Times New Roman" w:hAnsi="Times New Roman" w:cs="Times New Roman"/>
              </w:rPr>
              <w:t xml:space="preserve"> экономических факторов развития стран изучаемого региона</w:t>
            </w:r>
            <w:r w:rsidRPr="000D05B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D05B2" w14:paraId="3521DA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8CC1" w14:textId="77777777" w:rsidR="00751095" w:rsidRPr="000D0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B510" w14:textId="77777777" w:rsidR="00751095" w:rsidRPr="000D0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lang w:bidi="ru-RU"/>
              </w:rPr>
              <w:t xml:space="preserve">ПК-2.2 - Знает стилистические и жанровые особенности письменных высказываний, основные особенности научного стиля с учетом значения культуры </w:t>
            </w:r>
            <w:proofErr w:type="spellStart"/>
            <w:r w:rsidRPr="000D05B2">
              <w:rPr>
                <w:rFonts w:ascii="Times New Roman" w:hAnsi="Times New Roman" w:cs="Times New Roman"/>
                <w:lang w:bidi="ru-RU"/>
              </w:rPr>
              <w:t>ибероамериканских</w:t>
            </w:r>
            <w:proofErr w:type="spellEnd"/>
            <w:r w:rsidRPr="000D05B2">
              <w:rPr>
                <w:rFonts w:ascii="Times New Roman" w:hAnsi="Times New Roman" w:cs="Times New Roman"/>
                <w:lang w:bidi="ru-RU"/>
              </w:rPr>
              <w:t xml:space="preserve"> стран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DE7B" w14:textId="77777777" w:rsidR="00751095" w:rsidRPr="000D0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05B2">
              <w:rPr>
                <w:rFonts w:ascii="Times New Roman" w:hAnsi="Times New Roman" w:cs="Times New Roman"/>
              </w:rPr>
              <w:t xml:space="preserve">Специфику и жанровые особенности литературы </w:t>
            </w:r>
            <w:proofErr w:type="spellStart"/>
            <w:r w:rsidR="00316402" w:rsidRPr="000D05B2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316402" w:rsidRPr="000D05B2">
              <w:rPr>
                <w:rFonts w:ascii="Times New Roman" w:hAnsi="Times New Roman" w:cs="Times New Roman"/>
              </w:rPr>
              <w:t xml:space="preserve"> стран,  включая стиль научного общения как части социокультурного пространства</w:t>
            </w:r>
            <w:r w:rsidRPr="000D05B2">
              <w:rPr>
                <w:rFonts w:ascii="Times New Roman" w:hAnsi="Times New Roman" w:cs="Times New Roman"/>
              </w:rPr>
              <w:t xml:space="preserve"> </w:t>
            </w:r>
          </w:p>
          <w:p w14:paraId="1EE31351" w14:textId="77777777" w:rsidR="00751095" w:rsidRPr="000D0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05B2">
              <w:rPr>
                <w:rFonts w:ascii="Times New Roman" w:hAnsi="Times New Roman" w:cs="Times New Roman"/>
              </w:rPr>
              <w:t xml:space="preserve">определять стилистические и жанровые особенности литературы и особенности научного стиля в контексте развития социокультурного пространства </w:t>
            </w:r>
            <w:proofErr w:type="spellStart"/>
            <w:r w:rsidR="00FD518F" w:rsidRPr="000D05B2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FD518F" w:rsidRPr="000D05B2">
              <w:rPr>
                <w:rFonts w:ascii="Times New Roman" w:hAnsi="Times New Roman" w:cs="Times New Roman"/>
              </w:rPr>
              <w:t xml:space="preserve"> стран</w:t>
            </w:r>
            <w:r w:rsidRPr="000D05B2">
              <w:rPr>
                <w:rFonts w:ascii="Times New Roman" w:hAnsi="Times New Roman" w:cs="Times New Roman"/>
              </w:rPr>
              <w:t xml:space="preserve">. </w:t>
            </w:r>
          </w:p>
          <w:p w14:paraId="0868BCDB" w14:textId="77777777" w:rsidR="00751095" w:rsidRPr="000D05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05B2">
              <w:rPr>
                <w:rFonts w:ascii="Times New Roman" w:hAnsi="Times New Roman" w:cs="Times New Roman"/>
              </w:rPr>
              <w:t xml:space="preserve">навыками анализа и интерпретации специфики и жанровых особенностей письменных высказываний в контексте развития социокультурного пространства стран изучаемого региона, а так же основных особенностей научного стиля с учетом значения культуры </w:t>
            </w:r>
            <w:proofErr w:type="spellStart"/>
            <w:r w:rsidR="00FD518F" w:rsidRPr="000D05B2">
              <w:rPr>
                <w:rFonts w:ascii="Times New Roman" w:hAnsi="Times New Roman" w:cs="Times New Roman"/>
              </w:rPr>
              <w:t>ибероамериканских</w:t>
            </w:r>
            <w:proofErr w:type="spellEnd"/>
            <w:r w:rsidR="00FD518F" w:rsidRPr="000D05B2">
              <w:rPr>
                <w:rFonts w:ascii="Times New Roman" w:hAnsi="Times New Roman" w:cs="Times New Roman"/>
              </w:rPr>
              <w:t xml:space="preserve"> стран</w:t>
            </w:r>
            <w:r w:rsidRPr="000D05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05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30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изучения социокультурного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 "социокультурное пространство"  в современной философской и культурологической литературе. Социо-культурное пространство как часть процессов глобализации и  универсализации современного социума. Социо-культурное пространство как часть процессов регионализации и разнообразия локальных проявлений. Содержание  дефиниций "социальное пространство" и "культурное пространство".  Единство социального и культурного пространства в трудах а. Тойнби, О.Шпенглера, М.Вебера, Л.Н.Гумилева. Понятие "социокультура" и специфика социокультурного взаимодействия по П.Сорокину.Структура социокультурного взаимодействия.  Специфика термина "социально-культурное пространство". Пространственная модель культуры по А.С. Кармину. Основные характеристики социо-культурного пространства". Структура социокультурного пространства: наиболее значимые институты.  Особенность социо-культуного пространства Латинской Америки - взаимопроникновение культур. Современная трансформация социо-культуного пространства стран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ED8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467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Литература и мифология, как часть социокультурного пространства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E06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литературного наследия Латинской Америки. Мифы и легенды коренных народов Латинской Америки, как отражение социокультурного пространства  Влияние культуры коренных народов Латинской Америки на Мировую художественную  культуру.  Сказки нардов Латинской Америки.  Вклад латиноамериканской литературы в мировую художественную культуру. Развитие книгоиздания в странах Латинской Америки  и рост мирового интереса к региону и его авторам. Влияние творчества ведущих авторов Латинской Америки  середины XX -  начала XXI века  на  мировую литературу. Особенности творчества Г.Маркеса, Х.-Л. Борхеса, Х.Кортасара, А. Фуэнтеса и других ведущих писателей Латинской Америки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38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97E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975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59F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3B3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C44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Арихтектура, как часть социокультурного пространства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AC2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архитектурного наследия коренных народов Латинской Америки. Архитектурное наследие в странах Латинской Америки времен испанского и португальского владычества. Современная архитектура в странах Латинской Америки.  Основные архитектурные стили и их особенности в странах Латинской Америки. Выдающиеся памятники архитектуры в странах Латинской Америки. Архитектурные объекты Всемирного Наследия ЮНЕСКО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87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D6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995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81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07F5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905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Музыка и театр и киноискусство, как часть социокультурного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CD0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Музыкальное наследие коренных народов Латинской Америки.  Развитие музыкальной культуры стран Латинской Америки в XX веке. Выдающиеся музыканты стран Латинской Америки. Музыкальные стили стран Латинской Америки и их влиние на Мировую художественную культуру. Крупнейшие театры и режиссеры стран Латинской Америки и их вклад в мировое театральное искусство. Крупнейшие кинопроекты стран Латинской Америки и их влияние на мировой кинематограф.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94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AF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291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05F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1BC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A1E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Музеи, как часть социокультурного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61E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Музейное наследие стран Латинской Америки. Крупнейшие музеи стран Латинской Америки. Особенности музейных собраний ибероамериканских стран. Выставочное пространство  и крупнейшие проекты в странах Латинской Америки. Влияние материального и нематериального наследия конренных жителей Латинской Америки на современное социокультурное пространство ибероамериканских стран. Влияние испанского и португальского наследия на социо-культурное пространство Латиноамериканских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F6C6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23A1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446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410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30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3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0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Григорьев, А. А.  География культуры</w:t>
            </w:r>
            <w:proofErr w:type="gram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Григорьев. — Москва</w:t>
            </w:r>
            <w:proofErr w:type="gram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, 2025. — 372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F0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https://urait.ru/bcode/567979</w:t>
              </w:r>
            </w:hyperlink>
          </w:p>
        </w:tc>
      </w:tr>
      <w:tr w:rsidR="00262CF0" w:rsidRPr="007E6725" w14:paraId="23E104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5D565" w14:textId="77777777" w:rsidR="00262CF0" w:rsidRPr="000D0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Ларин, Е. А.  Культура Латинской Америки. Авангард первой трети ХХ века</w:t>
            </w:r>
            <w:proofErr w:type="gram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Ларин. — 2-е изд., </w:t>
            </w:r>
            <w:proofErr w:type="spell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, 2025. — 221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2858BD" w14:textId="77777777" w:rsidR="00262CF0" w:rsidRPr="007E6725" w:rsidRDefault="002F0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https://urait.ru/bcode/564776</w:t>
              </w:r>
            </w:hyperlink>
          </w:p>
        </w:tc>
      </w:tr>
      <w:tr w:rsidR="00262CF0" w:rsidRPr="007E6725" w14:paraId="7CB48B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70EBA8" w14:textId="77777777" w:rsidR="00262CF0" w:rsidRPr="000D0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Ларин, Е. А.  История и культура Латинской Америки. От доколумбовых цивилизаций до начала ХХ века</w:t>
            </w:r>
            <w:proofErr w:type="gram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Ларин, С. П. Мамонтов, Н. Н. Марчук. — 2-е изд. — Москва : Издательство </w:t>
            </w:r>
            <w:proofErr w:type="spellStart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5B2">
              <w:rPr>
                <w:rFonts w:ascii="Times New Roman" w:hAnsi="Times New Roman" w:cs="Times New Roman"/>
                <w:sz w:val="24"/>
                <w:szCs w:val="24"/>
              </w:rPr>
              <w:t>, 2025. — 468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D4248" w14:textId="77777777" w:rsidR="00262CF0" w:rsidRPr="007E6725" w:rsidRDefault="002F0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https://urait.ru/bcode/564775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3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3AA0CA" w14:textId="77777777" w:rsidTr="007B550D">
        <w:tc>
          <w:tcPr>
            <w:tcW w:w="9345" w:type="dxa"/>
          </w:tcPr>
          <w:p w14:paraId="3549B1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F3B7AE" w14:textId="77777777" w:rsidTr="007B550D">
        <w:tc>
          <w:tcPr>
            <w:tcW w:w="9345" w:type="dxa"/>
          </w:tcPr>
          <w:p w14:paraId="4F3756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8252DF6" w14:textId="77777777" w:rsidTr="007B550D">
        <w:tc>
          <w:tcPr>
            <w:tcW w:w="9345" w:type="dxa"/>
          </w:tcPr>
          <w:p w14:paraId="58DA4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0A4F950E" w14:textId="77777777" w:rsidTr="007B550D">
        <w:tc>
          <w:tcPr>
            <w:tcW w:w="9345" w:type="dxa"/>
          </w:tcPr>
          <w:p w14:paraId="556121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47537A" w14:textId="77777777" w:rsidTr="007B550D">
        <w:tc>
          <w:tcPr>
            <w:tcW w:w="9345" w:type="dxa"/>
          </w:tcPr>
          <w:p w14:paraId="2A15F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6B4175" w14:textId="77777777" w:rsidTr="007B550D">
        <w:tc>
          <w:tcPr>
            <w:tcW w:w="9345" w:type="dxa"/>
          </w:tcPr>
          <w:p w14:paraId="765A33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3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04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3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05B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0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5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0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5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05B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05B2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D05B2">
              <w:rPr>
                <w:sz w:val="22"/>
                <w:szCs w:val="22"/>
                <w:lang w:val="en-US"/>
              </w:rPr>
              <w:t>Lenovo</w:t>
            </w:r>
            <w:r w:rsidRPr="000D05B2">
              <w:rPr>
                <w:sz w:val="22"/>
                <w:szCs w:val="22"/>
              </w:rPr>
              <w:t xml:space="preserve"> тип 1 (</w:t>
            </w:r>
            <w:r w:rsidRPr="000D05B2">
              <w:rPr>
                <w:sz w:val="22"/>
                <w:szCs w:val="22"/>
                <w:lang w:val="en-US"/>
              </w:rPr>
              <w:t>Core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I</w:t>
            </w:r>
            <w:r w:rsidRPr="000D05B2">
              <w:rPr>
                <w:sz w:val="22"/>
                <w:szCs w:val="22"/>
              </w:rPr>
              <w:t xml:space="preserve">3 2100+монитор </w:t>
            </w:r>
            <w:r w:rsidRPr="000D05B2">
              <w:rPr>
                <w:sz w:val="22"/>
                <w:szCs w:val="22"/>
                <w:lang w:val="en-US"/>
              </w:rPr>
              <w:t>Acer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V</w:t>
            </w:r>
            <w:r w:rsidRPr="000D05B2">
              <w:rPr>
                <w:sz w:val="22"/>
                <w:szCs w:val="22"/>
              </w:rPr>
              <w:t xml:space="preserve">193) - 1 шт., Интерактивный проектор </w:t>
            </w:r>
            <w:r w:rsidRPr="000D05B2">
              <w:rPr>
                <w:sz w:val="22"/>
                <w:szCs w:val="22"/>
                <w:lang w:val="en-US"/>
              </w:rPr>
              <w:t>Epson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EB</w:t>
            </w:r>
            <w:r w:rsidRPr="000D05B2">
              <w:rPr>
                <w:sz w:val="22"/>
                <w:szCs w:val="22"/>
              </w:rPr>
              <w:t>-485</w:t>
            </w:r>
            <w:r w:rsidRPr="000D05B2">
              <w:rPr>
                <w:sz w:val="22"/>
                <w:szCs w:val="22"/>
                <w:lang w:val="en-US"/>
              </w:rPr>
              <w:t>Wi</w:t>
            </w:r>
            <w:r w:rsidRPr="000D05B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05B2" w14:paraId="7D4C52D0" w14:textId="77777777" w:rsidTr="008416EB">
        <w:tc>
          <w:tcPr>
            <w:tcW w:w="7797" w:type="dxa"/>
            <w:shd w:val="clear" w:color="auto" w:fill="auto"/>
          </w:tcPr>
          <w:p w14:paraId="16BB112E" w14:textId="77777777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05B2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0D05B2">
              <w:rPr>
                <w:sz w:val="22"/>
                <w:szCs w:val="22"/>
                <w:lang w:val="en-US"/>
              </w:rPr>
              <w:t>HP</w:t>
            </w:r>
            <w:r w:rsidRPr="000D05B2">
              <w:rPr>
                <w:sz w:val="22"/>
                <w:szCs w:val="22"/>
              </w:rPr>
              <w:t xml:space="preserve"> 250 </w:t>
            </w:r>
            <w:r w:rsidRPr="000D05B2">
              <w:rPr>
                <w:sz w:val="22"/>
                <w:szCs w:val="22"/>
                <w:lang w:val="en-US"/>
              </w:rPr>
              <w:t>G</w:t>
            </w:r>
            <w:r w:rsidRPr="000D05B2">
              <w:rPr>
                <w:sz w:val="22"/>
                <w:szCs w:val="22"/>
              </w:rPr>
              <w:t>6 1</w:t>
            </w:r>
            <w:r w:rsidRPr="000D05B2">
              <w:rPr>
                <w:sz w:val="22"/>
                <w:szCs w:val="22"/>
                <w:lang w:val="en-US"/>
              </w:rPr>
              <w:t>WY</w:t>
            </w:r>
            <w:r w:rsidRPr="000D05B2">
              <w:rPr>
                <w:sz w:val="22"/>
                <w:szCs w:val="22"/>
              </w:rPr>
              <w:t>58</w:t>
            </w:r>
            <w:r w:rsidRPr="000D05B2">
              <w:rPr>
                <w:sz w:val="22"/>
                <w:szCs w:val="22"/>
                <w:lang w:val="en-US"/>
              </w:rPr>
              <w:t>EA</w:t>
            </w:r>
            <w:r w:rsidRPr="000D05B2">
              <w:rPr>
                <w:sz w:val="22"/>
                <w:szCs w:val="22"/>
              </w:rPr>
              <w:t xml:space="preserve">, Мультимедийный проектор </w:t>
            </w:r>
            <w:r w:rsidRPr="000D05B2">
              <w:rPr>
                <w:sz w:val="22"/>
                <w:szCs w:val="22"/>
                <w:lang w:val="en-US"/>
              </w:rPr>
              <w:t>LG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PF</w:t>
            </w:r>
            <w:r w:rsidRPr="000D05B2">
              <w:rPr>
                <w:sz w:val="22"/>
                <w:szCs w:val="22"/>
              </w:rPr>
              <w:t>1500</w:t>
            </w:r>
            <w:r w:rsidRPr="000D05B2">
              <w:rPr>
                <w:sz w:val="22"/>
                <w:szCs w:val="22"/>
                <w:lang w:val="en-US"/>
              </w:rPr>
              <w:t>G</w:t>
            </w:r>
            <w:r w:rsidRPr="000D0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8EC5F0" w14:textId="77777777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05B2" w14:paraId="7784E485" w14:textId="77777777" w:rsidTr="008416EB">
        <w:tc>
          <w:tcPr>
            <w:tcW w:w="7797" w:type="dxa"/>
            <w:shd w:val="clear" w:color="auto" w:fill="auto"/>
          </w:tcPr>
          <w:p w14:paraId="7411F277" w14:textId="77777777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D0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D05B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D05B2">
              <w:rPr>
                <w:sz w:val="22"/>
                <w:szCs w:val="22"/>
                <w:lang w:val="en-US"/>
              </w:rPr>
              <w:t>Intel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I</w:t>
            </w:r>
            <w:r w:rsidRPr="000D05B2">
              <w:rPr>
                <w:sz w:val="22"/>
                <w:szCs w:val="22"/>
              </w:rPr>
              <w:t>5-7400/16</w:t>
            </w:r>
            <w:r w:rsidRPr="000D05B2">
              <w:rPr>
                <w:sz w:val="22"/>
                <w:szCs w:val="22"/>
                <w:lang w:val="en-US"/>
              </w:rPr>
              <w:t>Gb</w:t>
            </w:r>
            <w:r w:rsidRPr="000D05B2">
              <w:rPr>
                <w:sz w:val="22"/>
                <w:szCs w:val="22"/>
              </w:rPr>
              <w:t>/1</w:t>
            </w:r>
            <w:r w:rsidRPr="000D05B2">
              <w:rPr>
                <w:sz w:val="22"/>
                <w:szCs w:val="22"/>
                <w:lang w:val="en-US"/>
              </w:rPr>
              <w:t>Tb</w:t>
            </w:r>
            <w:r w:rsidRPr="000D05B2">
              <w:rPr>
                <w:sz w:val="22"/>
                <w:szCs w:val="22"/>
              </w:rPr>
              <w:t xml:space="preserve">/ видеокарта </w:t>
            </w:r>
            <w:r w:rsidRPr="000D05B2">
              <w:rPr>
                <w:sz w:val="22"/>
                <w:szCs w:val="22"/>
                <w:lang w:val="en-US"/>
              </w:rPr>
              <w:t>NVIDIA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GeForce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GT</w:t>
            </w:r>
            <w:r w:rsidRPr="000D05B2">
              <w:rPr>
                <w:sz w:val="22"/>
                <w:szCs w:val="22"/>
              </w:rPr>
              <w:t xml:space="preserve"> 710/Монитор </w:t>
            </w:r>
            <w:r w:rsidRPr="000D05B2">
              <w:rPr>
                <w:sz w:val="22"/>
                <w:szCs w:val="22"/>
                <w:lang w:val="en-US"/>
              </w:rPr>
              <w:t>DELL</w:t>
            </w:r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S</w:t>
            </w:r>
            <w:r w:rsidRPr="000D05B2">
              <w:rPr>
                <w:sz w:val="22"/>
                <w:szCs w:val="22"/>
              </w:rPr>
              <w:t>2218</w:t>
            </w:r>
            <w:r w:rsidRPr="000D05B2">
              <w:rPr>
                <w:sz w:val="22"/>
                <w:szCs w:val="22"/>
                <w:lang w:val="en-US"/>
              </w:rPr>
              <w:t>H</w:t>
            </w:r>
            <w:r w:rsidRPr="000D05B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D05B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Switch</w:t>
            </w:r>
            <w:r w:rsidRPr="000D05B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D05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x</w:t>
            </w:r>
            <w:r w:rsidRPr="000D05B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D05B2">
              <w:rPr>
                <w:sz w:val="22"/>
                <w:szCs w:val="22"/>
              </w:rPr>
              <w:t>подпружинен.ручной</w:t>
            </w:r>
            <w:proofErr w:type="spellEnd"/>
            <w:r w:rsidRPr="000D05B2">
              <w:rPr>
                <w:sz w:val="22"/>
                <w:szCs w:val="22"/>
              </w:rPr>
              <w:t xml:space="preserve"> </w:t>
            </w:r>
            <w:r w:rsidRPr="000D05B2">
              <w:rPr>
                <w:sz w:val="22"/>
                <w:szCs w:val="22"/>
                <w:lang w:val="en-US"/>
              </w:rPr>
              <w:t>MW</w:t>
            </w:r>
            <w:r w:rsidRPr="000D05B2">
              <w:rPr>
                <w:sz w:val="22"/>
                <w:szCs w:val="22"/>
              </w:rPr>
              <w:t xml:space="preserve"> </w:t>
            </w:r>
            <w:proofErr w:type="spellStart"/>
            <w:r w:rsidRPr="000D05B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D05B2">
              <w:rPr>
                <w:sz w:val="22"/>
                <w:szCs w:val="22"/>
              </w:rPr>
              <w:t xml:space="preserve"> 200х200см (</w:t>
            </w:r>
            <w:r w:rsidRPr="000D05B2">
              <w:rPr>
                <w:sz w:val="22"/>
                <w:szCs w:val="22"/>
                <w:lang w:val="en-US"/>
              </w:rPr>
              <w:t>S</w:t>
            </w:r>
            <w:r w:rsidRPr="000D05B2">
              <w:rPr>
                <w:sz w:val="22"/>
                <w:szCs w:val="22"/>
              </w:rPr>
              <w:t>/</w:t>
            </w:r>
            <w:r w:rsidRPr="000D05B2">
              <w:rPr>
                <w:sz w:val="22"/>
                <w:szCs w:val="22"/>
                <w:lang w:val="en-US"/>
              </w:rPr>
              <w:t>N</w:t>
            </w:r>
            <w:r w:rsidRPr="000D05B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FB7A3" w14:textId="77777777" w:rsidR="002C735C" w:rsidRPr="000D0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5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30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3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3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3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5B2" w14:paraId="626F052B" w14:textId="77777777" w:rsidTr="000D05B2">
        <w:tc>
          <w:tcPr>
            <w:tcW w:w="562" w:type="dxa"/>
          </w:tcPr>
          <w:p w14:paraId="57BD9C0C" w14:textId="77777777" w:rsidR="000D05B2" w:rsidRPr="001E0724" w:rsidRDefault="000D0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01861DC" w14:textId="77777777" w:rsidR="000D05B2" w:rsidRDefault="000D0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3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05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5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3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05B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05B2" w14:paraId="5A1C9382" w14:textId="77777777" w:rsidTr="00801458">
        <w:tc>
          <w:tcPr>
            <w:tcW w:w="2336" w:type="dxa"/>
          </w:tcPr>
          <w:p w14:paraId="4C518DAB" w14:textId="77777777" w:rsidR="005D65A5" w:rsidRPr="000D0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0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0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0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05B2" w14:paraId="07658034" w14:textId="77777777" w:rsidTr="00801458">
        <w:tc>
          <w:tcPr>
            <w:tcW w:w="2336" w:type="dxa"/>
          </w:tcPr>
          <w:p w14:paraId="1553D698" w14:textId="78F29BFB" w:rsidR="005D65A5" w:rsidRPr="000D0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D05B2" w14:paraId="16F74481" w14:textId="77777777" w:rsidTr="00801458">
        <w:tc>
          <w:tcPr>
            <w:tcW w:w="2336" w:type="dxa"/>
          </w:tcPr>
          <w:p w14:paraId="403FA958" w14:textId="77777777" w:rsidR="005D65A5" w:rsidRPr="000D0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506584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58535CE8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2015F6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D05B2" w14:paraId="4D16CDAD" w14:textId="77777777" w:rsidTr="00801458">
        <w:tc>
          <w:tcPr>
            <w:tcW w:w="2336" w:type="dxa"/>
          </w:tcPr>
          <w:p w14:paraId="270BBCF1" w14:textId="77777777" w:rsidR="005D65A5" w:rsidRPr="000D0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5C263F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33F74F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A362EC" w14:textId="77777777" w:rsidR="005D65A5" w:rsidRPr="000D05B2" w:rsidRDefault="007478E0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D05B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05B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3014"/>
      <w:r w:rsidRPr="000D05B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47DA037" w:rsidR="00C23E7F" w:rsidRPr="000D05B2" w:rsidRDefault="00C23E7F" w:rsidP="00C23E7F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5B2" w:rsidRPr="000D05B2" w14:paraId="1B5B5D29" w14:textId="77777777" w:rsidTr="000D05B2">
        <w:tc>
          <w:tcPr>
            <w:tcW w:w="562" w:type="dxa"/>
          </w:tcPr>
          <w:p w14:paraId="2209DBAD" w14:textId="77777777" w:rsidR="000D05B2" w:rsidRPr="000D05B2" w:rsidRDefault="000D05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3D3D08" w14:textId="77777777" w:rsidR="000D05B2" w:rsidRPr="000D05B2" w:rsidRDefault="000D0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5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781FEC" w14:textId="77777777" w:rsidR="000D05B2" w:rsidRPr="000D05B2" w:rsidRDefault="000D05B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05B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3015"/>
      <w:r w:rsidRPr="000D05B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D05B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05B2" w14:paraId="0267C479" w14:textId="77777777" w:rsidTr="00801458">
        <w:tc>
          <w:tcPr>
            <w:tcW w:w="2500" w:type="pct"/>
          </w:tcPr>
          <w:p w14:paraId="37F699C9" w14:textId="77777777" w:rsidR="00B8237E" w:rsidRPr="000D05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05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5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05B2" w14:paraId="3F240151" w14:textId="77777777" w:rsidTr="00801458">
        <w:tc>
          <w:tcPr>
            <w:tcW w:w="2500" w:type="pct"/>
          </w:tcPr>
          <w:p w14:paraId="61E91592" w14:textId="61A0874C" w:rsidR="00B8237E" w:rsidRPr="000D05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05B2" w:rsidRDefault="005C548A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05B2" w14:paraId="2002E101" w14:textId="77777777" w:rsidTr="00801458">
        <w:tc>
          <w:tcPr>
            <w:tcW w:w="2500" w:type="pct"/>
          </w:tcPr>
          <w:p w14:paraId="7EDD4CCC" w14:textId="77777777" w:rsidR="00B8237E" w:rsidRPr="000D05B2" w:rsidRDefault="00B8237E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D81DFB" w14:textId="77777777" w:rsidR="00B8237E" w:rsidRPr="000D05B2" w:rsidRDefault="005C548A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05B2" w14:paraId="45C937C6" w14:textId="77777777" w:rsidTr="00801458">
        <w:tc>
          <w:tcPr>
            <w:tcW w:w="2500" w:type="pct"/>
          </w:tcPr>
          <w:p w14:paraId="297EAD65" w14:textId="77777777" w:rsidR="00B8237E" w:rsidRPr="000D05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BCEC0D9" w14:textId="77777777" w:rsidR="00B8237E" w:rsidRPr="000D05B2" w:rsidRDefault="005C548A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D05B2" w14:paraId="583EFCAB" w14:textId="77777777" w:rsidTr="00801458">
        <w:tc>
          <w:tcPr>
            <w:tcW w:w="2500" w:type="pct"/>
          </w:tcPr>
          <w:p w14:paraId="536D72FB" w14:textId="77777777" w:rsidR="00B8237E" w:rsidRPr="000D05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28E0EF09" w14:textId="77777777" w:rsidR="00B8237E" w:rsidRPr="000D05B2" w:rsidRDefault="005C548A" w:rsidP="00801458">
            <w:pPr>
              <w:rPr>
                <w:rFonts w:ascii="Times New Roman" w:hAnsi="Times New Roman" w:cs="Times New Roman"/>
              </w:rPr>
            </w:pPr>
            <w:r w:rsidRPr="000D05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D05B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3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4F27E" w14:textId="77777777" w:rsidR="002F043B" w:rsidRDefault="002F043B" w:rsidP="00315CA6">
      <w:pPr>
        <w:spacing w:after="0" w:line="240" w:lineRule="auto"/>
      </w:pPr>
      <w:r>
        <w:separator/>
      </w:r>
    </w:p>
  </w:endnote>
  <w:endnote w:type="continuationSeparator" w:id="0">
    <w:p w14:paraId="14CAD3A7" w14:textId="77777777" w:rsidR="002F043B" w:rsidRDefault="002F04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D674B3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72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16F83" w14:textId="77777777" w:rsidR="002F043B" w:rsidRDefault="002F043B" w:rsidP="00315CA6">
      <w:pPr>
        <w:spacing w:after="0" w:line="240" w:lineRule="auto"/>
      </w:pPr>
      <w:r>
        <w:separator/>
      </w:r>
    </w:p>
  </w:footnote>
  <w:footnote w:type="continuationSeparator" w:id="0">
    <w:p w14:paraId="5B8D5153" w14:textId="77777777" w:rsidR="002F043B" w:rsidRDefault="002F04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5B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72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43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913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77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97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7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D0CFC-C646-441E-816F-F1293F0A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